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129F8" w14:textId="1C9DCF5D" w:rsidR="004A011C" w:rsidRPr="004828A1" w:rsidRDefault="004828A1" w:rsidP="004A01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  <w:bookmarkStart w:id="0" w:name="Начало"/>
      <w:bookmarkEnd w:id="0"/>
      <w:r w:rsidRPr="004828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Тема</w:t>
      </w:r>
      <w:r w:rsidRPr="004828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: </w:t>
      </w:r>
      <w:r w:rsidR="004A011C" w:rsidRPr="004828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Технологии</w:t>
      </w:r>
      <w:r w:rsidR="004A011C" w:rsidRPr="004828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ArcNet, Token Ring, 100BaseVG-AnyLAN</w:t>
      </w:r>
    </w:p>
    <w:p w14:paraId="23FA36A7" w14:textId="77777777" w:rsidR="004A011C" w:rsidRPr="004828A1" w:rsidRDefault="004A011C" w:rsidP="004828A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п1-Arcnet"/>
      <w:bookmarkEnd w:id="1"/>
      <w:r w:rsidRPr="004828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Технология </w:t>
      </w:r>
      <w:r w:rsidRPr="004828A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Arcnet</w:t>
      </w:r>
    </w:p>
    <w:p w14:paraId="510F6089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Arcnet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Attached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Resource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Computer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NetWork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) - простая, недорогая, надежная и достаточно гибкая архитектура локальной сети. При подключении устройств в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Arcnet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применяют топологии "шина" и "звезда". Метод управления доступом станций к передающей среде - маркерная шина (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Bus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>). Этот метод предусматривает следующие правила:</w:t>
      </w:r>
    </w:p>
    <w:p w14:paraId="55F746A1" w14:textId="77777777" w:rsidR="004A011C" w:rsidRPr="004828A1" w:rsidRDefault="004A011C" w:rsidP="004828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Один из компьютеров создает маркер (сообщение специального вида), который последовательно передается от одного компьютера к другому;</w:t>
      </w:r>
    </w:p>
    <w:p w14:paraId="0A5D66AF" w14:textId="77777777" w:rsidR="004A011C" w:rsidRPr="004828A1" w:rsidRDefault="004A011C" w:rsidP="004828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Все устройства, подключенные к сети, могут передавать данные, только получив маркер (разрешение на передачу);</w:t>
      </w:r>
    </w:p>
    <w:p w14:paraId="3C38F308" w14:textId="77777777" w:rsidR="004A011C" w:rsidRPr="004828A1" w:rsidRDefault="004A011C" w:rsidP="004828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В любой момент времени только одна станция в сети обладает таким правом;</w:t>
      </w:r>
    </w:p>
    <w:p w14:paraId="6FD0613B" w14:textId="77777777" w:rsidR="004A011C" w:rsidRPr="004828A1" w:rsidRDefault="004A011C" w:rsidP="004828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Данные, передаваемые одной станцией, доступны всем станциям сети;</w:t>
      </w:r>
    </w:p>
    <w:p w14:paraId="282F00C8" w14:textId="77777777" w:rsidR="004A011C" w:rsidRPr="004828A1" w:rsidRDefault="004A011C" w:rsidP="004828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Если станция желает передать сообщение другой станции, она должна дождаться маркера и добавить к нему сообщение, дополненное адресами отправителя и назначения. Когда пакет дойдет до станции назначения, сообщение будет откреплено от маркера и передано станции.</w:t>
      </w:r>
    </w:p>
    <w:p w14:paraId="2E3DC54F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Передача каждого байта в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Arcnet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 выполняется специальной посылкой, состоящей из трех служебных битов и восьми битов данных. В начале каждого пакета передается начальный разделитель, который состоит из шести служебных битов. Начальный разделитель выполняет функции заголовка пакета.</w:t>
      </w:r>
    </w:p>
    <w:p w14:paraId="12C73A93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Arcnet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определены 5 типов пакетов:</w:t>
      </w:r>
    </w:p>
    <w:p w14:paraId="001EC8D6" w14:textId="77777777" w:rsidR="004A011C" w:rsidRPr="004828A1" w:rsidRDefault="004A011C" w:rsidP="004828A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приглашение к передаче; станция, принявшая этот пакет, получает право на передачу данных;</w:t>
      </w:r>
    </w:p>
    <w:p w14:paraId="380B6C65" w14:textId="77777777" w:rsidR="004A011C" w:rsidRPr="004828A1" w:rsidRDefault="004A011C" w:rsidP="004828A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запрос о готовности к приему данных;</w:t>
      </w:r>
    </w:p>
    <w:p w14:paraId="294A3071" w14:textId="77777777" w:rsidR="004A011C" w:rsidRPr="004828A1" w:rsidRDefault="004A011C" w:rsidP="004828A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пакет данных;</w:t>
      </w:r>
    </w:p>
    <w:p w14:paraId="1E31276F" w14:textId="77777777" w:rsidR="004A011C" w:rsidRPr="004828A1" w:rsidRDefault="004A011C" w:rsidP="004828A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lastRenderedPageBreak/>
        <w:t>подтверждение приема; этот пакет высылается в ответ на запрос о готовности к приему, а также после приема каждого пакета данных без ошибок;</w:t>
      </w:r>
    </w:p>
    <w:p w14:paraId="5EC292A2" w14:textId="77777777" w:rsidR="004A011C" w:rsidRPr="004828A1" w:rsidRDefault="004A011C" w:rsidP="004828A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неготовность к приему; этот пакет высылается в ответ на запрос о готовности к приему, а также если принят пакет с ошибкой.</w:t>
      </w:r>
    </w:p>
    <w:p w14:paraId="69802B5D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сети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Arcnet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необходим соответствующий сетевой адаптер. В качестве передающей среды используются: витая пара, коаксиальный кабель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RG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>-62 с волновым сопротивлением 93 Ом или оптоволоконный кабель. Скорость передачи данных - 2,5 Мбит/с.</w:t>
      </w:r>
    </w:p>
    <w:p w14:paraId="750C78CE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Ограничения для сети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Arcnet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приведены в табл.1.</w:t>
      </w:r>
    </w:p>
    <w:p w14:paraId="7A8377DC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Таблица 1. Ограничения для сети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Arcnet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4"/>
        <w:gridCol w:w="1445"/>
      </w:tblGrid>
      <w:tr w:rsidR="004A011C" w:rsidRPr="004828A1" w14:paraId="05D384AF" w14:textId="77777777" w:rsidTr="004828A1">
        <w:trPr>
          <w:tblCellSpacing w:w="15" w:type="dxa"/>
        </w:trPr>
        <w:tc>
          <w:tcPr>
            <w:tcW w:w="4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A2B09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Максимальная длина кабеля, который идет к активному концентратору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1B257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300 м</w:t>
            </w:r>
          </w:p>
        </w:tc>
      </w:tr>
      <w:tr w:rsidR="004A011C" w:rsidRPr="004828A1" w14:paraId="24E5671B" w14:textId="77777777" w:rsidTr="004828A1">
        <w:trPr>
          <w:tblCellSpacing w:w="15" w:type="dxa"/>
        </w:trPr>
        <w:tc>
          <w:tcPr>
            <w:tcW w:w="4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5CF38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Минимальное расстояние между рабочими станциями, подключенными к одному кабелю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B602C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0,9 м</w:t>
            </w:r>
          </w:p>
        </w:tc>
      </w:tr>
      <w:tr w:rsidR="004A011C" w:rsidRPr="004828A1" w14:paraId="226D1033" w14:textId="77777777" w:rsidTr="004828A1">
        <w:trPr>
          <w:tblCellSpacing w:w="15" w:type="dxa"/>
        </w:trPr>
        <w:tc>
          <w:tcPr>
            <w:tcW w:w="4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138AD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Максимальная длина сети по самому длинному маршруту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7EB5D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6000 м</w:t>
            </w:r>
          </w:p>
        </w:tc>
      </w:tr>
      <w:tr w:rsidR="004A011C" w:rsidRPr="004828A1" w14:paraId="12BDE4A0" w14:textId="77777777" w:rsidTr="004828A1">
        <w:trPr>
          <w:tblCellSpacing w:w="15" w:type="dxa"/>
        </w:trPr>
        <w:tc>
          <w:tcPr>
            <w:tcW w:w="4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33DF5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Максимальное расстояние между рабочей станцией и пассивным концентратором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BA24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30 м</w:t>
            </w:r>
          </w:p>
        </w:tc>
      </w:tr>
      <w:tr w:rsidR="004A011C" w:rsidRPr="004828A1" w14:paraId="74BE214C" w14:textId="77777777" w:rsidTr="004828A1">
        <w:trPr>
          <w:tblCellSpacing w:w="15" w:type="dxa"/>
        </w:trPr>
        <w:tc>
          <w:tcPr>
            <w:tcW w:w="4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8972F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Максимальное расстояние между активным и пассивным концентраторами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C9D5E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30 м</w:t>
            </w:r>
          </w:p>
        </w:tc>
      </w:tr>
      <w:tr w:rsidR="004A011C" w:rsidRPr="004828A1" w14:paraId="79999763" w14:textId="77777777" w:rsidTr="004828A1">
        <w:trPr>
          <w:tblCellSpacing w:w="15" w:type="dxa"/>
        </w:trPr>
        <w:tc>
          <w:tcPr>
            <w:tcW w:w="4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04E15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Максимальное расстояние между двумя активными концентраторами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03DA4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600 м</w:t>
            </w:r>
          </w:p>
        </w:tc>
      </w:tr>
    </w:tbl>
    <w:p w14:paraId="1451B6DD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Достоинствами сети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Arcnet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являются низкая стоимость сетевого оборудования по сравнению с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Ethernet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и большая длина сети (до 6 км). Однако низкая скорость передачи данных, составляющая 2,44 Мбит/с, ограничивает применение сетей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Arcnet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E1068B" w14:textId="3BD5E477" w:rsidR="004A011C" w:rsidRPr="004828A1" w:rsidRDefault="004828A1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noProof/>
          <w:color w:val="0000FF"/>
          <w:sz w:val="28"/>
          <w:szCs w:val="28"/>
        </w:rPr>
        <mc:AlternateContent>
          <mc:Choice Requires="wps">
            <w:drawing>
              <wp:inline distT="0" distB="0" distL="0" distR="0" wp14:anchorId="1B13788C" wp14:editId="416787EA">
                <wp:extent cx="142875" cy="142875"/>
                <wp:effectExtent l="0" t="0" r="0" b="0"/>
                <wp:docPr id="2" name="AutoShape 79">
                  <a:hlinkClick xmlns:a="http://schemas.openxmlformats.org/drawingml/2006/main" r:id="rId5" tooltip="&quot;Возврат к началу лекции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5B4BB8" id="AutoShape 79" o:spid="_x0000_s1026" href="http://sharovt.narod.ru/l13.htm#%D0%9D%D0%B0%D1%87%D0%B0%D0%BB%D0%BE" title="&quot;Возврат к началу лекции&quot;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CC4B632" w14:textId="77777777" w:rsidR="004A011C" w:rsidRPr="004828A1" w:rsidRDefault="004A011C" w:rsidP="004828A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п2-TokenRing"/>
      <w:bookmarkEnd w:id="2"/>
      <w:r w:rsidRPr="004828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Технология </w:t>
      </w:r>
      <w:r w:rsidRPr="004828A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Ring</w:t>
      </w:r>
    </w:p>
    <w:p w14:paraId="018E82BF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Этот стандарт предложен фирмой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IBM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>. В качестве передающей среды применяется неэкранированная витая пара, экранированная витая пара, оптоволоконный кабель. Скорость передачи данных - 4 Мбит/с или 16 Мбит/с. В качестве метода управления доступом станций к передающей среде используется метод маркерного кольца, который рассчитан на топологию "логическое кольцо". Основные положения этого метода:</w:t>
      </w:r>
    </w:p>
    <w:p w14:paraId="533A800D" w14:textId="77777777" w:rsidR="004A011C" w:rsidRPr="004828A1" w:rsidRDefault="004A011C" w:rsidP="004828A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компьютеры подключаются к сети по топологии "звезда" или "кольцо": рабочие станции сети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Ring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подключаются радиально к 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lastRenderedPageBreak/>
        <w:t>концентратору, концентраторов может быть несколько, и в этом случае они объединяются в кольцо;</w:t>
      </w:r>
    </w:p>
    <w:p w14:paraId="064F4214" w14:textId="77777777" w:rsidR="004A011C" w:rsidRPr="004828A1" w:rsidRDefault="004A011C" w:rsidP="004828A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все устройства, подключенные к сети, могут передавать данные, только получив разрешение на передачу (маркер). Маркер передается по кольцу, минуя каждую рабочую станцию в сети. Рабочая станция, располагающая информацией, которую необходимо передать, может добавить к маркеру кадр данных. В противном случае (при отсутствии данных) она просто передает маркер следующей станции;</w:t>
      </w:r>
    </w:p>
    <w:p w14:paraId="29A69F8E" w14:textId="77777777" w:rsidR="004A011C" w:rsidRPr="004828A1" w:rsidRDefault="004A011C" w:rsidP="004828A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в любой момент времени таким правом обладает только одна станция сети.</w:t>
      </w:r>
    </w:p>
    <w:p w14:paraId="7843DD74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Этот метод напоминает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Arcnet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, так как тоже использует маркер, передаваемый от одной станции к другой. В отличие от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Arcnet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, при методе доступа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Ring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имеется возможность назначать различные приоритеты разным рабочим станциям.</w:t>
      </w:r>
    </w:p>
    <w:p w14:paraId="5E93A74C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В сетях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Ring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пакеты трех типов:</w:t>
      </w:r>
    </w:p>
    <w:p w14:paraId="6185E7B3" w14:textId="77777777" w:rsidR="004A011C" w:rsidRPr="004828A1" w:rsidRDefault="004A011C" w:rsidP="004828A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пакет управление/данные; с помощью этого пакета выполняется передача данных или команд управления работой сети;</w:t>
      </w:r>
    </w:p>
    <w:p w14:paraId="691696BE" w14:textId="77777777" w:rsidR="004A011C" w:rsidRPr="004828A1" w:rsidRDefault="004A011C" w:rsidP="004828A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маркер (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>); станция может начать передачу данных только после получения такого пакета. В одном "кольце" может быть только один маркер и, соответственно, только одна станция с правом передачи данных;</w:t>
      </w:r>
    </w:p>
    <w:p w14:paraId="22A1D343" w14:textId="77777777" w:rsidR="004A011C" w:rsidRPr="004828A1" w:rsidRDefault="004A011C" w:rsidP="004828A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пакет сброса; посылка такого пакета вызывает прекращение любых передач.</w:t>
      </w:r>
    </w:p>
    <w:p w14:paraId="35327BD2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Ring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не рассчитаны на большие расстояния. Все компьютеры должны быть расположены на одном или двух этажах здания. Ограничение для сетей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Ring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приведены в табл. 2.</w:t>
      </w:r>
    </w:p>
    <w:p w14:paraId="6CC4EFE4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Таблица 2. Ограничения для сети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Ring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1"/>
        <w:gridCol w:w="1558"/>
      </w:tblGrid>
      <w:tr w:rsidR="004A011C" w:rsidRPr="004828A1" w14:paraId="628AFA9B" w14:textId="77777777" w:rsidTr="004828A1">
        <w:trPr>
          <w:tblCellSpacing w:w="15" w:type="dxa"/>
        </w:trPr>
        <w:tc>
          <w:tcPr>
            <w:tcW w:w="4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3FE67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Максимальное количество концентраторов в сети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3A9EF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4A011C" w:rsidRPr="004828A1" w14:paraId="297B50F2" w14:textId="77777777" w:rsidTr="004828A1">
        <w:trPr>
          <w:tblCellSpacing w:w="15" w:type="dxa"/>
        </w:trPr>
        <w:tc>
          <w:tcPr>
            <w:tcW w:w="4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D02C6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Минимальное количество рабочих станций в сети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02013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004A011C" w:rsidRPr="004828A1" w14:paraId="49ACC485" w14:textId="77777777" w:rsidTr="004828A1">
        <w:trPr>
          <w:tblCellSpacing w:w="15" w:type="dxa"/>
        </w:trPr>
        <w:tc>
          <w:tcPr>
            <w:tcW w:w="4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D17CC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Максимальная длина кабеля между двумя концентраторами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6DCAE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45 м</w:t>
            </w:r>
          </w:p>
        </w:tc>
      </w:tr>
      <w:tr w:rsidR="004A011C" w:rsidRPr="004828A1" w14:paraId="4A28C94C" w14:textId="77777777" w:rsidTr="004828A1">
        <w:trPr>
          <w:tblCellSpacing w:w="15" w:type="dxa"/>
        </w:trPr>
        <w:tc>
          <w:tcPr>
            <w:tcW w:w="4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BFCD5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Максимальная длина кабеля, соединяющая все концентраторы в сети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F3B09" w14:textId="77777777" w:rsidR="004A011C" w:rsidRPr="004828A1" w:rsidRDefault="004A011C" w:rsidP="004828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828A1">
              <w:rPr>
                <w:rFonts w:ascii="Times New Roman" w:eastAsia="Times New Roman" w:hAnsi="Times New Roman" w:cs="Times New Roman"/>
              </w:rPr>
              <w:t>120 м</w:t>
            </w:r>
          </w:p>
        </w:tc>
      </w:tr>
    </w:tbl>
    <w:p w14:paraId="19BF3A5C" w14:textId="07D48943" w:rsidR="004A011C" w:rsidRPr="004828A1" w:rsidRDefault="004828A1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noProof/>
          <w:color w:val="0000FF"/>
          <w:sz w:val="28"/>
          <w:szCs w:val="28"/>
        </w:rPr>
        <mc:AlternateContent>
          <mc:Choice Requires="wps">
            <w:drawing>
              <wp:inline distT="0" distB="0" distL="0" distR="0" wp14:anchorId="55045013" wp14:editId="08B0F5DB">
                <wp:extent cx="142875" cy="142875"/>
                <wp:effectExtent l="0" t="0" r="0" b="0"/>
                <wp:docPr id="1" name="AutoShape 80">
                  <a:hlinkClick xmlns:a="http://schemas.openxmlformats.org/drawingml/2006/main" r:id="rId5" tooltip="&quot;Возврат к началу лекции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3189B8" id="AutoShape 80" o:spid="_x0000_s1026" href="http://sharovt.narod.ru/l13.htm#%D0%9D%D0%B0%D1%87%D0%B0%D0%BB%D0%BE" title="&quot;Возврат к началу лекции&quot;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82E956A" w14:textId="77777777" w:rsidR="004A011C" w:rsidRPr="004828A1" w:rsidRDefault="004A011C" w:rsidP="004828A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п3-100BaseVG"/>
      <w:bookmarkEnd w:id="3"/>
      <w:r w:rsidRPr="004828A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Технология 100</w:t>
      </w:r>
      <w:r w:rsidRPr="004828A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BaseVG</w:t>
      </w:r>
      <w:r w:rsidRPr="004828A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4828A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AnyLAN</w:t>
      </w:r>
    </w:p>
    <w:p w14:paraId="0E26F3FB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Данная технология представляет собой высокоскоростное расширение стандарта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IEEE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802.3 (100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BaseT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). Она была разработана с целью объединить в одном стандарте поддержку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Ethernet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Ring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и рассчитана на передачу данных со скоростью 100 Мбит/с по витой паре или оптоволокну.</w:t>
      </w:r>
    </w:p>
    <w:p w14:paraId="076A89F4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Сети, построенные по технологии 100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VG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(стандарт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IEEE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802.12) поддерживает форматы данных и топологии сетей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Ethernet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Ring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("общая шина", "кольцо", "звезда"). Физическая топология - обязательно "звезда", петли и ветвления не допускаются. При каскадном подключении хабов между ними допускается только одна линия связи. Образование резервных линий возможно лишь при условии, что в каждый момент активна ровно одна.</w:t>
      </w:r>
    </w:p>
    <w:p w14:paraId="1D3AF7BC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>Стандартом предусмотрено до 1024 узлов в одном сегменте сети, но из-за снижения производительности сети реальный максимум - 250 узлов. Похожими соображениями определяется и максимальное удаление между узлами - 2,5 км.</w:t>
      </w:r>
    </w:p>
    <w:p w14:paraId="7A3EB392" w14:textId="77777777" w:rsidR="004A011C" w:rsidRPr="004828A1" w:rsidRDefault="004A011C" w:rsidP="004828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Стандартом не допускается объединение в одном сегменте систем, использующих одновременно форматы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Ethernet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Ring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>. Для таких сетей предназначены специальные мосты. Между двумя узлами одной сети не может быть более семи мостов.</w:t>
      </w:r>
    </w:p>
    <w:p w14:paraId="69B3355F" w14:textId="5CA6230B" w:rsidR="008F7636" w:rsidRPr="004828A1" w:rsidRDefault="004A011C" w:rsidP="00482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Ethernet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-сегментов используются кабели, содержащие четыре неэкранированные витые пары. Одна пара служит для передачи данных, одна - для разрешения конфликтов; две оставшиеся пары не используются. При работе с экранированными кабелями, характерными для сетей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Token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8A1">
        <w:rPr>
          <w:rFonts w:ascii="Times New Roman" w:eastAsia="Times New Roman" w:hAnsi="Times New Roman" w:cs="Times New Roman"/>
          <w:sz w:val="28"/>
          <w:szCs w:val="28"/>
          <w:lang w:val="en-US"/>
        </w:rPr>
        <w:t>Ring</w:t>
      </w:r>
      <w:r w:rsidRPr="004828A1">
        <w:rPr>
          <w:rFonts w:ascii="Times New Roman" w:eastAsia="Times New Roman" w:hAnsi="Times New Roman" w:cs="Times New Roman"/>
          <w:sz w:val="28"/>
          <w:szCs w:val="28"/>
        </w:rPr>
        <w:t>, используются также две витые пары, но при вдвое большей частоте (благодаря тому, что кабель экранирован). При передаче по такому кабелю каждая пара используется в качестве фиксированного однонаправленного канала. По одной паре передаются входные данные, по другой выходные. Стандартное удаление узлов, на котором гарантируются параметры передачи, - 100 м для пар третьей и четвертой категории и 200 м для пятой.</w:t>
      </w:r>
    </w:p>
    <w:sectPr w:rsidR="008F7636" w:rsidRPr="0048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032BA"/>
    <w:multiLevelType w:val="multilevel"/>
    <w:tmpl w:val="6B02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4096B"/>
    <w:multiLevelType w:val="multilevel"/>
    <w:tmpl w:val="DA26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F5309"/>
    <w:multiLevelType w:val="multilevel"/>
    <w:tmpl w:val="7164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C15E7"/>
    <w:multiLevelType w:val="multilevel"/>
    <w:tmpl w:val="A770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F5E45"/>
    <w:multiLevelType w:val="multilevel"/>
    <w:tmpl w:val="8FA6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1C"/>
    <w:rsid w:val="004828A1"/>
    <w:rsid w:val="004A011C"/>
    <w:rsid w:val="008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D885A5"/>
  <w15:docId w15:val="{2676E50E-FCB4-4A57-8C16-20A99CE6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A0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A0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1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A01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A01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A01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arovt.narod.ru/l13.htm#%D0%9D%D0%B0%D1%87%D0%B0%D0%BB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Helena Mashenceva</cp:lastModifiedBy>
  <cp:revision>2</cp:revision>
  <dcterms:created xsi:type="dcterms:W3CDTF">2020-10-14T13:01:00Z</dcterms:created>
  <dcterms:modified xsi:type="dcterms:W3CDTF">2020-10-14T13:01:00Z</dcterms:modified>
</cp:coreProperties>
</file>